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08B8" w14:textId="6F86DD43" w:rsidR="00EE09C4" w:rsidRPr="00F53664" w:rsidRDefault="003A2EAF" w:rsidP="00912EA1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7D60A6">
        <w:rPr>
          <w:rFonts w:hint="eastAsia"/>
          <w:szCs w:val="21"/>
        </w:rPr>
        <w:t>2</w:t>
      </w:r>
      <w:r w:rsidR="008217F8">
        <w:rPr>
          <w:szCs w:val="21"/>
        </w:rPr>
        <w:t>2</w:t>
      </w:r>
      <w:r w:rsidR="00FC0AE8">
        <w:rPr>
          <w:rFonts w:hint="eastAsia"/>
          <w:szCs w:val="21"/>
        </w:rPr>
        <w:t>年</w:t>
      </w:r>
      <w:r w:rsidR="00775542">
        <w:rPr>
          <w:rFonts w:hint="eastAsia"/>
          <w:szCs w:val="21"/>
        </w:rPr>
        <w:t>1</w:t>
      </w:r>
      <w:r w:rsidR="00775542">
        <w:rPr>
          <w:szCs w:val="21"/>
        </w:rPr>
        <w:t>0</w:t>
      </w:r>
      <w:r w:rsidR="00FC0AE8">
        <w:rPr>
          <w:rFonts w:hint="eastAsia"/>
          <w:szCs w:val="21"/>
        </w:rPr>
        <w:t>月</w:t>
      </w:r>
      <w:r w:rsidR="00EE09C4" w:rsidRPr="00F53664">
        <w:rPr>
          <w:szCs w:val="21"/>
        </w:rPr>
        <w:t>作成</w:t>
      </w:r>
    </w:p>
    <w:p w14:paraId="21DE5F7A" w14:textId="77777777" w:rsidR="00461589" w:rsidRPr="00F53664" w:rsidRDefault="00632E4F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632E4F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903"/>
        <w:gridCol w:w="1559"/>
        <w:gridCol w:w="2029"/>
        <w:gridCol w:w="2507"/>
        <w:gridCol w:w="1984"/>
      </w:tblGrid>
      <w:tr w:rsidR="00613B48" w:rsidRPr="004D0B0F" w14:paraId="4AC5DF93" w14:textId="77777777" w:rsidTr="004F424A">
        <w:tc>
          <w:tcPr>
            <w:tcW w:w="1320" w:type="dxa"/>
          </w:tcPr>
          <w:p w14:paraId="6B017C9F" w14:textId="77777777" w:rsidR="00613B48" w:rsidRPr="004D0B0F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3316CD88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491" w:type="dxa"/>
            <w:gridSpan w:val="2"/>
          </w:tcPr>
          <w:p w14:paraId="0CD7B84B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613B48" w:rsidRPr="004D0B0F" w14:paraId="70D03446" w14:textId="77777777" w:rsidTr="004F424A">
        <w:tc>
          <w:tcPr>
            <w:tcW w:w="1320" w:type="dxa"/>
            <w:vAlign w:val="center"/>
          </w:tcPr>
          <w:p w14:paraId="241EEB70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513AE3C7" w14:textId="53E0E8EC" w:rsidR="00613B48" w:rsidRPr="004D0B0F" w:rsidRDefault="00BC388C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ネオ</w:t>
            </w:r>
            <w:r w:rsidR="0068732D">
              <w:rPr>
                <w:rFonts w:hAnsi="ＭＳ 明朝" w:hint="eastAsia"/>
                <w:szCs w:val="18"/>
              </w:rPr>
              <w:t>クリティケア</w:t>
            </w:r>
            <w:r>
              <w:rPr>
                <w:rFonts w:hAnsi="ＭＳ 明朝" w:hint="eastAsia"/>
                <w:szCs w:val="18"/>
              </w:rPr>
              <w:t>製薬</w:t>
            </w:r>
            <w:r w:rsidR="00613B48" w:rsidRPr="004D0B0F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491" w:type="dxa"/>
            <w:gridSpan w:val="2"/>
          </w:tcPr>
          <w:p w14:paraId="5B413D0E" w14:textId="77777777" w:rsidR="00613B48" w:rsidRPr="004D0B0F" w:rsidRDefault="00346128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太陽ファルマ株式会社</w:t>
            </w:r>
          </w:p>
        </w:tc>
      </w:tr>
      <w:tr w:rsidR="00613B48" w:rsidRPr="004D0B0F" w14:paraId="26038641" w14:textId="77777777" w:rsidTr="004F424A">
        <w:tc>
          <w:tcPr>
            <w:tcW w:w="1320" w:type="dxa"/>
            <w:vAlign w:val="center"/>
          </w:tcPr>
          <w:p w14:paraId="7E725ABC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040FE180" w14:textId="77777777" w:rsidR="00613B48" w:rsidRPr="004D0B0F" w:rsidRDefault="00613B48" w:rsidP="001D5CC8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グラニセトロン点滴静注液</w:t>
            </w:r>
            <w:r w:rsidRPr="004D0B0F">
              <w:rPr>
                <w:szCs w:val="18"/>
              </w:rPr>
              <w:t>3mg</w:t>
            </w:r>
            <w:r w:rsidRPr="004D0B0F">
              <w:rPr>
                <w:rFonts w:hAnsi="ＭＳ 明朝" w:hint="eastAsia"/>
                <w:szCs w:val="18"/>
              </w:rPr>
              <w:t>バッグ</w:t>
            </w:r>
          </w:p>
          <w:p w14:paraId="704AA112" w14:textId="77777777" w:rsidR="00613B48" w:rsidRPr="004D0B0F" w:rsidRDefault="00613B48" w:rsidP="001D5CC8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「アイロム」</w:t>
            </w:r>
          </w:p>
        </w:tc>
        <w:tc>
          <w:tcPr>
            <w:tcW w:w="4491" w:type="dxa"/>
            <w:gridSpan w:val="2"/>
            <w:vAlign w:val="center"/>
          </w:tcPr>
          <w:p w14:paraId="7A122ADE" w14:textId="77777777" w:rsidR="00613B48" w:rsidRPr="004D0B0F" w:rsidRDefault="00632E4F" w:rsidP="00D359C4">
            <w:pPr>
              <w:spacing w:line="280" w:lineRule="exact"/>
              <w:jc w:val="center"/>
              <w:rPr>
                <w:szCs w:val="18"/>
              </w:rPr>
            </w:pPr>
            <w:r w:rsidRPr="00632E4F">
              <w:rPr>
                <w:rFonts w:hint="eastAsia"/>
                <w:szCs w:val="18"/>
              </w:rPr>
              <w:t>カイトリル点滴静注バッグ</w:t>
            </w:r>
            <w:r w:rsidRPr="00632E4F">
              <w:rPr>
                <w:rFonts w:hint="eastAsia"/>
                <w:szCs w:val="18"/>
              </w:rPr>
              <w:t>3mg/100mL</w:t>
            </w:r>
          </w:p>
        </w:tc>
      </w:tr>
      <w:tr w:rsidR="00613B48" w:rsidRPr="004D0B0F" w14:paraId="072B1648" w14:textId="77777777" w:rsidTr="000F042A">
        <w:tc>
          <w:tcPr>
            <w:tcW w:w="1320" w:type="dxa"/>
            <w:vAlign w:val="center"/>
          </w:tcPr>
          <w:p w14:paraId="70422BF9" w14:textId="66553715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0441EC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8982" w:type="dxa"/>
            <w:gridSpan w:val="5"/>
          </w:tcPr>
          <w:p w14:paraId="359DF0C9" w14:textId="77777777" w:rsidR="00613B48" w:rsidRPr="004D0B0F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グラニセトロン</w:t>
            </w:r>
            <w:r w:rsidR="00395A41">
              <w:rPr>
                <w:rFonts w:hAnsi="ＭＳ 明朝" w:hint="eastAsia"/>
                <w:szCs w:val="18"/>
              </w:rPr>
              <w:t>塩酸塩</w:t>
            </w:r>
          </w:p>
        </w:tc>
      </w:tr>
      <w:tr w:rsidR="00613B48" w:rsidRPr="004D0B0F" w14:paraId="7D57359C" w14:textId="77777777" w:rsidTr="000F042A">
        <w:tc>
          <w:tcPr>
            <w:tcW w:w="1320" w:type="dxa"/>
            <w:vAlign w:val="center"/>
          </w:tcPr>
          <w:p w14:paraId="1B0271AB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82" w:type="dxa"/>
            <w:gridSpan w:val="5"/>
          </w:tcPr>
          <w:p w14:paraId="47CF78B9" w14:textId="77777777" w:rsidR="00613B48" w:rsidRPr="004D0B0F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4D0B0F">
              <w:rPr>
                <w:szCs w:val="18"/>
              </w:rPr>
              <w:t>5-HT</w:t>
            </w:r>
            <w:r w:rsidRPr="004D0B0F">
              <w:rPr>
                <w:szCs w:val="18"/>
                <w:vertAlign w:val="subscript"/>
              </w:rPr>
              <w:t>３</w:t>
            </w:r>
            <w:r w:rsidRPr="004D0B0F">
              <w:rPr>
                <w:rFonts w:hAnsi="ＭＳ 明朝" w:hint="eastAsia"/>
                <w:szCs w:val="18"/>
              </w:rPr>
              <w:t>受容体拮抗型制吐剤</w:t>
            </w:r>
          </w:p>
        </w:tc>
      </w:tr>
      <w:tr w:rsidR="00613B48" w:rsidRPr="004D0B0F" w14:paraId="3E717F4C" w14:textId="77777777" w:rsidTr="000F042A">
        <w:tc>
          <w:tcPr>
            <w:tcW w:w="1320" w:type="dxa"/>
            <w:vAlign w:val="center"/>
          </w:tcPr>
          <w:p w14:paraId="15B08ACD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82" w:type="dxa"/>
            <w:gridSpan w:val="5"/>
          </w:tcPr>
          <w:p w14:paraId="30C987F5" w14:textId="604A8704" w:rsidR="00613B48" w:rsidRPr="004D0B0F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4D0B0F">
              <w:rPr>
                <w:szCs w:val="18"/>
              </w:rPr>
              <w:t>3</w:t>
            </w:r>
            <w:r w:rsidR="00DE7A65">
              <w:rPr>
                <w:rFonts w:hint="eastAsia"/>
                <w:szCs w:val="18"/>
              </w:rPr>
              <w:t>m</w:t>
            </w:r>
            <w:r w:rsidRPr="004D0B0F">
              <w:rPr>
                <w:rFonts w:hint="eastAsia"/>
                <w:szCs w:val="18"/>
              </w:rPr>
              <w:t xml:space="preserve">g </w:t>
            </w:r>
            <w:r w:rsidRPr="004D0B0F">
              <w:rPr>
                <w:szCs w:val="18"/>
              </w:rPr>
              <w:t>100</w:t>
            </w:r>
            <w:r w:rsidR="00DE7A65">
              <w:rPr>
                <w:rFonts w:hint="eastAsia"/>
                <w:szCs w:val="18"/>
              </w:rPr>
              <w:t>m</w:t>
            </w:r>
            <w:r w:rsidRPr="004D0B0F">
              <w:rPr>
                <w:szCs w:val="18"/>
              </w:rPr>
              <w:t>L</w:t>
            </w:r>
            <w:r w:rsidR="00B7296A">
              <w:rPr>
                <w:szCs w:val="18"/>
              </w:rPr>
              <w:t xml:space="preserve"> </w:t>
            </w:r>
            <w:r w:rsidRPr="004D0B0F">
              <w:rPr>
                <w:szCs w:val="18"/>
              </w:rPr>
              <w:t>1</w:t>
            </w:r>
            <w:r w:rsidRPr="004D0B0F">
              <w:rPr>
                <w:rFonts w:hAnsi="ＭＳ 明朝" w:hint="eastAsia"/>
                <w:szCs w:val="18"/>
              </w:rPr>
              <w:t>袋</w:t>
            </w:r>
          </w:p>
        </w:tc>
      </w:tr>
      <w:tr w:rsidR="00613B48" w:rsidRPr="004D0B0F" w14:paraId="1A67EA75" w14:textId="77777777" w:rsidTr="004F424A">
        <w:tc>
          <w:tcPr>
            <w:tcW w:w="1320" w:type="dxa"/>
            <w:vAlign w:val="center"/>
          </w:tcPr>
          <w:p w14:paraId="232D506A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1C72C921" w14:textId="77777777" w:rsidR="00613B48" w:rsidRPr="004D0B0F" w:rsidRDefault="008217F8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971</w:t>
            </w:r>
            <w:r w:rsidR="00613B48" w:rsidRPr="004D0B0F">
              <w:rPr>
                <w:rFonts w:hAnsi="ＭＳ 明朝" w:hint="eastAsia"/>
                <w:szCs w:val="18"/>
              </w:rPr>
              <w:t>円</w:t>
            </w:r>
          </w:p>
        </w:tc>
        <w:tc>
          <w:tcPr>
            <w:tcW w:w="4491" w:type="dxa"/>
            <w:gridSpan w:val="2"/>
          </w:tcPr>
          <w:p w14:paraId="7A9AA990" w14:textId="77777777" w:rsidR="00613B48" w:rsidRPr="004D0B0F" w:rsidRDefault="001651D0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2,006</w:t>
            </w:r>
            <w:r w:rsidR="00613B48" w:rsidRPr="004D0B0F">
              <w:rPr>
                <w:rFonts w:hAnsi="ＭＳ 明朝" w:hint="eastAsia"/>
                <w:szCs w:val="18"/>
              </w:rPr>
              <w:t>円</w:t>
            </w:r>
          </w:p>
        </w:tc>
      </w:tr>
      <w:tr w:rsidR="00AD43A0" w:rsidRPr="004D0B0F" w14:paraId="6811B6CB" w14:textId="77777777" w:rsidTr="00C72063">
        <w:tc>
          <w:tcPr>
            <w:tcW w:w="1320" w:type="dxa"/>
            <w:vAlign w:val="center"/>
          </w:tcPr>
          <w:p w14:paraId="1F9A48C6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903" w:type="dxa"/>
            <w:vAlign w:val="center"/>
          </w:tcPr>
          <w:p w14:paraId="32921634" w14:textId="117B1EDC" w:rsidR="00AD43A0" w:rsidRPr="006D6D92" w:rsidRDefault="00C72063" w:rsidP="00B4359E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079" w:type="dxa"/>
            <w:gridSpan w:val="4"/>
          </w:tcPr>
          <w:p w14:paraId="296AA6C7" w14:textId="77777777" w:rsidR="00AD43A0" w:rsidRDefault="00AD43A0" w:rsidP="001D5CC8">
            <w:pPr>
              <w:spacing w:before="100" w:beforeAutospacing="1"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抗悪性腫瘍剤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シスプラチン等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投与及び放射線照射に伴う消化器症状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悪心、嘔吐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</w:p>
          <w:p w14:paraId="7B8CEA9E" w14:textId="77777777" w:rsidR="001651D0" w:rsidRPr="004D0B0F" w:rsidRDefault="001651D0" w:rsidP="006D6D92">
            <w:pPr>
              <w:spacing w:line="280" w:lineRule="exact"/>
              <w:rPr>
                <w:szCs w:val="18"/>
              </w:rPr>
            </w:pPr>
            <w:r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AD43A0" w:rsidRPr="004D0B0F" w14:paraId="79A9A39E" w14:textId="77777777" w:rsidTr="00C72063">
        <w:tc>
          <w:tcPr>
            <w:tcW w:w="1320" w:type="dxa"/>
            <w:vAlign w:val="center"/>
          </w:tcPr>
          <w:p w14:paraId="0A9E6C48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903" w:type="dxa"/>
            <w:vAlign w:val="center"/>
          </w:tcPr>
          <w:p w14:paraId="7464D528" w14:textId="7F4566F7" w:rsidR="00B4359E" w:rsidRPr="00C72063" w:rsidRDefault="00C72063" w:rsidP="00B4359E">
            <w:pPr>
              <w:widowControl/>
              <w:spacing w:line="280" w:lineRule="exact"/>
              <w:rPr>
                <w:rFonts w:cs="ＭＳ Ｐゴシック"/>
                <w:bCs/>
                <w:color w:val="000000"/>
                <w:kern w:val="0"/>
                <w:szCs w:val="18"/>
              </w:rPr>
            </w:pPr>
            <w:r w:rsidRPr="00C72063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標準品と同じ</w:t>
            </w:r>
          </w:p>
        </w:tc>
        <w:tc>
          <w:tcPr>
            <w:tcW w:w="8079" w:type="dxa"/>
            <w:gridSpan w:val="4"/>
            <w:vAlign w:val="center"/>
          </w:tcPr>
          <w:p w14:paraId="5B52594A" w14:textId="7C5FCB39" w:rsidR="00AD43A0" w:rsidRPr="00176AAA" w:rsidRDefault="00852B5B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抗悪性腫瘍剤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シスプラチン等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投与に伴う消化器症状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01384C2B" w14:textId="77777777" w:rsidR="00AD43A0" w:rsidRPr="00176AAA" w:rsidRDefault="00AD43A0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B4359E">
              <w:rPr>
                <w:rFonts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B4359E">
              <w:rPr>
                <w:rFonts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67CED0C1" w14:textId="77777777" w:rsidR="00AD43A0" w:rsidRPr="00176AAA" w:rsidRDefault="00AD43A0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B4359E">
              <w:rPr>
                <w:rFonts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B4359E">
              <w:rPr>
                <w:rFonts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042B72BB" w14:textId="26F98200" w:rsidR="00AD43A0" w:rsidRPr="00176AAA" w:rsidRDefault="00852B5B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放射線照射に伴う消化器症状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11DD1D1E" w14:textId="77777777" w:rsidR="00AD43A0" w:rsidRDefault="00AD43A0" w:rsidP="00AD43A0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B4359E">
              <w:rPr>
                <w:rFonts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>
              <w:rPr>
                <w:rFonts w:cs="DFHSMincho-W3-WIN-RKSJ-H"/>
                <w:kern w:val="0"/>
                <w:szCs w:val="21"/>
              </w:rPr>
              <w:t>2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6AB2CFAD" w14:textId="15AFC627" w:rsidR="001651D0" w:rsidRDefault="00852B5B" w:rsidP="001651D0">
            <w:pPr>
              <w:spacing w:line="280" w:lineRule="exac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1651D0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術後の消化器症状（悪心、嘔吐）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68D6207F" w14:textId="77777777" w:rsidR="001651D0" w:rsidRPr="004D0B0F" w:rsidRDefault="001651D0" w:rsidP="001651D0">
            <w:pPr>
              <w:spacing w:line="280" w:lineRule="exact"/>
              <w:rPr>
                <w:szCs w:val="18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 w:rsidR="00B4359E">
              <w:rPr>
                <w:rFonts w:cs="DFHSMincho-W3-WIN-RKSJ-H"/>
                <w:kern w:val="0"/>
                <w:szCs w:val="21"/>
              </w:rPr>
              <w:t>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B4359E">
              <w:rPr>
                <w:rFonts w:cs="DFHSMincho-W3-WIN-RKSJ-H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>
              <w:rPr>
                <w:rFonts w:cs="DFHSMincho-W3-WIN-RKSJ-H"/>
                <w:kern w:val="0"/>
                <w:szCs w:val="21"/>
              </w:rPr>
              <w:t>3mg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0F042A" w:rsidRPr="004D0B0F" w14:paraId="1EBC00E6" w14:textId="77777777" w:rsidTr="004F424A">
        <w:tc>
          <w:tcPr>
            <w:tcW w:w="1320" w:type="dxa"/>
            <w:vAlign w:val="center"/>
          </w:tcPr>
          <w:p w14:paraId="7BF6CB6C" w14:textId="77777777" w:rsidR="000F042A" w:rsidRPr="004D0B0F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45E6E525" w14:textId="77777777" w:rsidR="000F042A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45F1A078" w14:textId="77777777" w:rsidR="000F042A" w:rsidRPr="004D0B0F" w:rsidRDefault="00B4359E" w:rsidP="00B4359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有効期間</w:t>
            </w:r>
          </w:p>
        </w:tc>
        <w:tc>
          <w:tcPr>
            <w:tcW w:w="4491" w:type="dxa"/>
            <w:gridSpan w:val="3"/>
          </w:tcPr>
          <w:p w14:paraId="61A6083D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劇薬、処方箋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3996F489" w14:textId="77777777" w:rsidR="000F042A" w:rsidRDefault="000F042A" w:rsidP="000F042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6F300694" w14:textId="77777777" w:rsidR="000F042A" w:rsidRPr="004D0B0F" w:rsidRDefault="00632E4F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3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4491" w:type="dxa"/>
            <w:gridSpan w:val="2"/>
          </w:tcPr>
          <w:p w14:paraId="207961AA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劇薬、処方箋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6BA48102" w14:textId="77777777" w:rsidR="000F042A" w:rsidRDefault="000F042A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20F62A28" w14:textId="77777777" w:rsidR="000F042A" w:rsidRPr="00D576C3" w:rsidRDefault="00831561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Cs w:val="18"/>
              </w:rPr>
              <w:t>3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年</w:t>
            </w:r>
          </w:p>
        </w:tc>
      </w:tr>
      <w:tr w:rsidR="00EA6C64" w:rsidRPr="004D0B0F" w14:paraId="716A9728" w14:textId="77777777" w:rsidTr="004F424A">
        <w:trPr>
          <w:trHeight w:val="260"/>
        </w:trPr>
        <w:tc>
          <w:tcPr>
            <w:tcW w:w="1320" w:type="dxa"/>
            <w:vMerge w:val="restart"/>
            <w:vAlign w:val="center"/>
          </w:tcPr>
          <w:p w14:paraId="2D7B2C28" w14:textId="2E496600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943062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2462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6959C1A3" w14:textId="77777777" w:rsidR="00EA6C64" w:rsidRPr="004D0B0F" w:rsidRDefault="00EA6C64" w:rsidP="005F33B8">
            <w:pPr>
              <w:spacing w:line="260" w:lineRule="exact"/>
              <w:rPr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クエン酸水和物</w:t>
            </w:r>
          </w:p>
        </w:tc>
        <w:tc>
          <w:tcPr>
            <w:tcW w:w="2029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33667284" w14:textId="77777777" w:rsidR="005F33B8" w:rsidRPr="005F33B8" w:rsidRDefault="005F33B8" w:rsidP="004D0B0F">
            <w:pPr>
              <w:spacing w:line="260" w:lineRule="exact"/>
              <w:rPr>
                <w:szCs w:val="18"/>
              </w:rPr>
            </w:pPr>
            <w:r w:rsidRPr="004D0B0F">
              <w:rPr>
                <w:szCs w:val="18"/>
              </w:rPr>
              <w:t>6mg</w:t>
            </w:r>
          </w:p>
        </w:tc>
        <w:tc>
          <w:tcPr>
            <w:tcW w:w="2507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7C4405CB" w14:textId="77777777" w:rsidR="00EA6C64" w:rsidRPr="004D0B0F" w:rsidRDefault="00EA6C64" w:rsidP="004D0B0F">
            <w:pPr>
              <w:spacing w:line="260" w:lineRule="exact"/>
              <w:rPr>
                <w:rFonts w:cs="ＭＳ Ｐゴシック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kern w:val="0"/>
                <w:szCs w:val="18"/>
              </w:rPr>
              <w:t>クエン酸水和物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589F46C3" w14:textId="77777777" w:rsidR="00EA6C64" w:rsidRPr="005F33B8" w:rsidRDefault="005F33B8" w:rsidP="00EA6C64">
            <w:pPr>
              <w:spacing w:line="260" w:lineRule="exact"/>
              <w:rPr>
                <w:rFonts w:cs="ＭＳ Ｐゴシック"/>
                <w:bCs/>
                <w:color w:val="000000"/>
                <w:kern w:val="0"/>
                <w:szCs w:val="18"/>
              </w:rPr>
            </w:pPr>
            <w:r w:rsidRPr="005F33B8">
              <w:rPr>
                <w:rFonts w:cs="ＭＳ Ｐゴシック" w:hint="eastAsia"/>
                <w:bCs/>
                <w:color w:val="000000"/>
                <w:kern w:val="0"/>
                <w:szCs w:val="18"/>
              </w:rPr>
              <w:t>6mg</w:t>
            </w:r>
          </w:p>
        </w:tc>
      </w:tr>
      <w:tr w:rsidR="00EA6C64" w:rsidRPr="004D0B0F" w14:paraId="13BFD651" w14:textId="77777777" w:rsidTr="004F424A">
        <w:trPr>
          <w:trHeight w:val="260"/>
        </w:trPr>
        <w:tc>
          <w:tcPr>
            <w:tcW w:w="1320" w:type="dxa"/>
            <w:vMerge/>
            <w:vAlign w:val="center"/>
          </w:tcPr>
          <w:p w14:paraId="2135BE16" w14:textId="77777777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CA22D7" w14:textId="77777777" w:rsidR="00EA6C64" w:rsidRPr="004D0B0F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56A76B92" w14:textId="77777777" w:rsidR="00EA6C64" w:rsidRPr="004D0B0F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 w:rsidRPr="004D0B0F">
              <w:rPr>
                <w:szCs w:val="18"/>
              </w:rPr>
              <w:t>900mg</w:t>
            </w:r>
          </w:p>
        </w:tc>
        <w:tc>
          <w:tcPr>
            <w:tcW w:w="250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D6953B" w14:textId="77777777" w:rsidR="00EA6C64" w:rsidRPr="004D0B0F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4D0B0F">
              <w:rPr>
                <w:rFonts w:cs="ＭＳ Ｐゴシック"/>
                <w:kern w:val="0"/>
                <w:szCs w:val="18"/>
              </w:rPr>
              <w:t>塩化ナトリウム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627E66E" w14:textId="77777777" w:rsidR="00EA6C64" w:rsidRPr="005F33B8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5F33B8">
              <w:rPr>
                <w:rFonts w:hAnsi="ＭＳ 明朝" w:cs="ＭＳ Ｐゴシック" w:hint="eastAsia"/>
                <w:kern w:val="0"/>
                <w:szCs w:val="18"/>
              </w:rPr>
              <w:t>900mg</w:t>
            </w:r>
          </w:p>
        </w:tc>
      </w:tr>
      <w:tr w:rsidR="00EA6C64" w:rsidRPr="004D0B0F" w14:paraId="25E16CBE" w14:textId="77777777" w:rsidTr="004F424A">
        <w:trPr>
          <w:trHeight w:val="260"/>
        </w:trPr>
        <w:tc>
          <w:tcPr>
            <w:tcW w:w="1320" w:type="dxa"/>
            <w:vMerge/>
            <w:vAlign w:val="center"/>
          </w:tcPr>
          <w:p w14:paraId="418D986C" w14:textId="77777777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701D4D82" w14:textId="77777777" w:rsidR="005F33B8" w:rsidRDefault="005F33B8" w:rsidP="005F33B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4D0B0F">
              <w:rPr>
                <w:rFonts w:hint="eastAsia"/>
                <w:szCs w:val="18"/>
              </w:rPr>
              <w:t>pH</w:t>
            </w:r>
            <w:r w:rsidR="00B4359E">
              <w:rPr>
                <w:rFonts w:hint="eastAsia"/>
                <w:szCs w:val="18"/>
              </w:rPr>
              <w:t>調節</w:t>
            </w:r>
            <w:r w:rsidRPr="004D0B0F">
              <w:rPr>
                <w:rFonts w:hAnsi="ＭＳ 明朝" w:hint="eastAsia"/>
                <w:szCs w:val="18"/>
              </w:rPr>
              <w:t>剤</w:t>
            </w:r>
            <w:r w:rsidR="001F3C1C">
              <w:rPr>
                <w:rFonts w:hAnsi="ＭＳ 明朝" w:hint="eastAsia"/>
                <w:szCs w:val="18"/>
              </w:rPr>
              <w:t>（</w:t>
            </w:r>
            <w:r w:rsidR="001F3C1C">
              <w:rPr>
                <w:rFonts w:hAnsi="ＭＳ 明朝" w:hint="eastAsia"/>
                <w:szCs w:val="18"/>
              </w:rPr>
              <w:t>2</w:t>
            </w:r>
            <w:r w:rsidR="001F3C1C">
              <w:rPr>
                <w:rFonts w:hAnsi="ＭＳ 明朝" w:hint="eastAsia"/>
                <w:szCs w:val="18"/>
              </w:rPr>
              <w:t>成分）</w:t>
            </w:r>
          </w:p>
          <w:p w14:paraId="2F33721C" w14:textId="77777777" w:rsidR="00EA6C64" w:rsidRPr="004D0B0F" w:rsidRDefault="00823BC2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（塩酸、水酸化ナトリウム</w:t>
            </w:r>
            <w:r w:rsidR="005F33B8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63AD55A4" w14:textId="77777777" w:rsidR="00EA6C64" w:rsidRPr="004D0B0F" w:rsidRDefault="005F33B8" w:rsidP="004D0B0F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07" w:type="dxa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0BBB5AA2" w14:textId="77777777" w:rsidR="005F33B8" w:rsidRDefault="005F33B8" w:rsidP="005F33B8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4D0B0F">
              <w:rPr>
                <w:rFonts w:cs="ＭＳ Ｐゴシック" w:hint="eastAsia"/>
                <w:kern w:val="0"/>
                <w:szCs w:val="18"/>
              </w:rPr>
              <w:t>pH</w:t>
            </w:r>
            <w:r w:rsidR="003D2206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4D0B0F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  <w:p w14:paraId="2D90BB77" w14:textId="77777777" w:rsidR="00EA6C64" w:rsidRPr="004D0B0F" w:rsidRDefault="005F33B8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</w:t>
            </w:r>
            <w:r w:rsidR="00823BC2">
              <w:rPr>
                <w:rFonts w:hAnsi="ＭＳ 明朝" w:hint="eastAsia"/>
                <w:szCs w:val="18"/>
              </w:rPr>
              <w:t>塩酸、水酸化ナトリウム</w:t>
            </w:r>
            <w:r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24748A11" w14:textId="77777777" w:rsidR="00EA6C64" w:rsidRPr="005F33B8" w:rsidRDefault="00EA6C64" w:rsidP="004D0B0F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632E4F" w:rsidRPr="004D0B0F" w14:paraId="7F50C91F" w14:textId="77777777" w:rsidTr="006A64B1">
        <w:trPr>
          <w:trHeight w:val="3072"/>
        </w:trPr>
        <w:tc>
          <w:tcPr>
            <w:tcW w:w="1320" w:type="dxa"/>
            <w:vMerge w:val="restart"/>
            <w:vAlign w:val="center"/>
          </w:tcPr>
          <w:p w14:paraId="5830BBD0" w14:textId="285BB470" w:rsidR="00632E4F" w:rsidRPr="004D0B0F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32E4F">
              <w:rPr>
                <w:rFonts w:ascii="ＭＳ ゴシック" w:eastAsia="ＭＳ ゴシック" w:hAnsi="ＭＳ ゴシック" w:hint="eastAsia"/>
                <w:szCs w:val="21"/>
              </w:rPr>
              <w:t>製</w:t>
            </w:r>
            <w:r w:rsidR="00717223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  <w:r w:rsidRPr="00632E4F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4491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F9DF" w14:textId="1669F9B8" w:rsidR="00632E4F" w:rsidRDefault="00000000" w:rsidP="004D0B0F">
            <w:pPr>
              <w:jc w:val="center"/>
              <w:rPr>
                <w:szCs w:val="18"/>
              </w:rPr>
            </w:pPr>
            <w:r>
              <w:rPr>
                <w:noProof/>
              </w:rPr>
              <w:pict w14:anchorId="72585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7" type="#_x0000_t75" style="position:absolute;left:0;text-align:left;margin-left:117.35pt;margin-top:0;width:82.1pt;height:170.2pt;z-index:2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 w14:anchorId="4249E99F">
                <v:shape id="_x0000_s2096" type="#_x0000_t75" style="position:absolute;left:0;text-align:left;margin-left:26.9pt;margin-top:-.4pt;width:84.55pt;height:170.8pt;z-index:1;mso-position-horizontal-relative:text;mso-position-vertical-relative:text">
                  <v:imagedata r:id="rId9" o:title=""/>
                </v:shape>
              </w:pict>
            </w:r>
          </w:p>
          <w:p w14:paraId="40FBBBA6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145AAEC4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75EF5869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7A1FB1B9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2CF1F088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58A561A7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5BA0321C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2BAF5256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7FF671DF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2C7B86E7" w14:textId="77777777" w:rsidR="00632E4F" w:rsidRDefault="00632E4F" w:rsidP="004D0B0F">
            <w:pPr>
              <w:jc w:val="center"/>
              <w:rPr>
                <w:szCs w:val="18"/>
              </w:rPr>
            </w:pPr>
          </w:p>
          <w:p w14:paraId="1C7B7D80" w14:textId="77777777" w:rsidR="00632E4F" w:rsidRPr="004D0B0F" w:rsidRDefault="00632E4F" w:rsidP="006A64B1">
            <w:pPr>
              <w:rPr>
                <w:szCs w:val="18"/>
              </w:rPr>
            </w:pPr>
          </w:p>
        </w:tc>
        <w:tc>
          <w:tcPr>
            <w:tcW w:w="449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E4F" w14:textId="77777777" w:rsidR="00632E4F" w:rsidRPr="004D0B0F" w:rsidRDefault="00632E4F" w:rsidP="004D0B0F">
            <w:pPr>
              <w:jc w:val="center"/>
              <w:rPr>
                <w:rFonts w:cs="ＭＳ Ｐゴシック"/>
                <w:kern w:val="0"/>
                <w:szCs w:val="18"/>
              </w:rPr>
            </w:pPr>
          </w:p>
        </w:tc>
      </w:tr>
      <w:tr w:rsidR="00632E4F" w:rsidRPr="004D0B0F" w14:paraId="503C341E" w14:textId="77777777" w:rsidTr="00D576C3">
        <w:trPr>
          <w:trHeight w:val="105"/>
        </w:trPr>
        <w:tc>
          <w:tcPr>
            <w:tcW w:w="1320" w:type="dxa"/>
            <w:vMerge/>
            <w:vAlign w:val="center"/>
          </w:tcPr>
          <w:p w14:paraId="5940B4F4" w14:textId="77777777" w:rsidR="00632E4F" w:rsidRPr="00632E4F" w:rsidRDefault="00632E4F" w:rsidP="00632E4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D6E0" w14:textId="013B1FD4" w:rsidR="00632E4F" w:rsidRPr="004D0B0F" w:rsidRDefault="00717223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性状：</w:t>
            </w:r>
            <w:r w:rsidR="00632E4F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無色澄明の液</w:t>
            </w:r>
          </w:p>
          <w:p w14:paraId="77C207DE" w14:textId="77777777" w:rsidR="00632E4F" w:rsidRPr="004D0B0F" w:rsidRDefault="00632E4F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</w:t>
            </w:r>
            <w:r w:rsidR="00FA7F16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水性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69B4CE33" w14:textId="5440A83C" w:rsidR="00632E4F" w:rsidRPr="004D0B0F" w:rsidRDefault="00632E4F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5.0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7.0</w:t>
            </w:r>
          </w:p>
          <w:p w14:paraId="585772C9" w14:textId="3A26BC8F" w:rsidR="00632E4F" w:rsidRDefault="00632E4F" w:rsidP="00D576C3">
            <w:pPr>
              <w:rPr>
                <w:noProof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浸透圧比：</w:t>
            </w:r>
            <w:r w:rsidR="00FA7F16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約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</w:t>
            </w:r>
            <w:r w:rsidR="00646FBB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（生理食塩液に対する比）</w:t>
            </w:r>
          </w:p>
        </w:tc>
        <w:tc>
          <w:tcPr>
            <w:tcW w:w="449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7751" w14:textId="1B455443" w:rsidR="00632E4F" w:rsidRPr="004D0B0F" w:rsidRDefault="00717223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性状：</w:t>
            </w:r>
            <w:r w:rsidR="00632E4F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無色澄明の液</w:t>
            </w:r>
          </w:p>
          <w:p w14:paraId="577D2049" w14:textId="77777777" w:rsidR="00632E4F" w:rsidRDefault="00632E4F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764C83C2" w14:textId="4F82E3AF" w:rsidR="00632E4F" w:rsidRPr="004D0B0F" w:rsidRDefault="00632E4F" w:rsidP="00632E4F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5.0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7.0</w:t>
            </w:r>
          </w:p>
          <w:p w14:paraId="70679140" w14:textId="21CBB3C6" w:rsidR="00632E4F" w:rsidRPr="004D0B0F" w:rsidRDefault="00632E4F" w:rsidP="00D576C3">
            <w:pPr>
              <w:rPr>
                <w:rFonts w:cs="ＭＳ Ｐゴシック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</w:t>
            </w:r>
            <w:r w:rsidR="00943062" w:rsidRPr="004D0B0F">
              <w:rPr>
                <w:rFonts w:cs="ＭＳ Ｐゴシック"/>
                <w:color w:val="000000"/>
                <w:kern w:val="0"/>
                <w:szCs w:val="18"/>
              </w:rPr>
              <w:t>（</w:t>
            </w:r>
            <w:r w:rsidR="00943062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生理食塩液に対する比）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：約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</w:t>
            </w:r>
          </w:p>
        </w:tc>
      </w:tr>
      <w:tr w:rsidR="00632E4F" w:rsidRPr="004D0B0F" w14:paraId="67E7C729" w14:textId="77777777" w:rsidTr="00964C34">
        <w:trPr>
          <w:trHeight w:val="705"/>
        </w:trPr>
        <w:tc>
          <w:tcPr>
            <w:tcW w:w="1320" w:type="dxa"/>
            <w:vAlign w:val="center"/>
          </w:tcPr>
          <w:p w14:paraId="30A84415" w14:textId="77777777" w:rsidR="00632E4F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4248A3A9" w14:textId="77777777" w:rsidR="00632E4F" w:rsidRPr="00632E4F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4F8D" w14:textId="77777777" w:rsidR="00632E4F" w:rsidRPr="004D0B0F" w:rsidRDefault="00632E4F" w:rsidP="00D576C3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41D0624F" w14:textId="77777777" w:rsidR="004C25E0" w:rsidRPr="00F53664" w:rsidRDefault="004C25E0" w:rsidP="00632E4F">
      <w:pPr>
        <w:spacing w:line="340" w:lineRule="exact"/>
        <w:jc w:val="right"/>
        <w:rPr>
          <w:szCs w:val="21"/>
        </w:rPr>
      </w:pPr>
    </w:p>
    <w:sectPr w:rsidR="004C25E0" w:rsidRPr="00F53664" w:rsidSect="00912EA1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54C6" w14:textId="77777777" w:rsidR="008B5DC9" w:rsidRDefault="008B5DC9" w:rsidP="00BA5135">
      <w:r>
        <w:separator/>
      </w:r>
    </w:p>
  </w:endnote>
  <w:endnote w:type="continuationSeparator" w:id="0">
    <w:p w14:paraId="1EF8FB7B" w14:textId="77777777" w:rsidR="008B5DC9" w:rsidRDefault="008B5DC9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346E" w14:textId="77777777" w:rsidR="008B5DC9" w:rsidRDefault="008B5DC9" w:rsidP="00BA5135">
      <w:r>
        <w:separator/>
      </w:r>
    </w:p>
  </w:footnote>
  <w:footnote w:type="continuationSeparator" w:id="0">
    <w:p w14:paraId="5F68F372" w14:textId="77777777" w:rsidR="008B5DC9" w:rsidRDefault="008B5DC9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2059">
    <w:abstractNumId w:val="0"/>
  </w:num>
  <w:num w:numId="2" w16cid:durableId="159189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24E96"/>
    <w:rsid w:val="000441EC"/>
    <w:rsid w:val="00044C53"/>
    <w:rsid w:val="00055A48"/>
    <w:rsid w:val="0006394E"/>
    <w:rsid w:val="0007613F"/>
    <w:rsid w:val="000A6596"/>
    <w:rsid w:val="000C2C59"/>
    <w:rsid w:val="000D4554"/>
    <w:rsid w:val="000D7AC3"/>
    <w:rsid w:val="000F042A"/>
    <w:rsid w:val="000F5CC8"/>
    <w:rsid w:val="0010618C"/>
    <w:rsid w:val="00107044"/>
    <w:rsid w:val="00115057"/>
    <w:rsid w:val="001651D0"/>
    <w:rsid w:val="0017009F"/>
    <w:rsid w:val="00187605"/>
    <w:rsid w:val="001A2812"/>
    <w:rsid w:val="001B06FF"/>
    <w:rsid w:val="001D5CC8"/>
    <w:rsid w:val="001E7D26"/>
    <w:rsid w:val="001F3C1C"/>
    <w:rsid w:val="00200585"/>
    <w:rsid w:val="002006B1"/>
    <w:rsid w:val="0020266D"/>
    <w:rsid w:val="002163A4"/>
    <w:rsid w:val="00223C5C"/>
    <w:rsid w:val="00224039"/>
    <w:rsid w:val="00224900"/>
    <w:rsid w:val="00227354"/>
    <w:rsid w:val="002542EF"/>
    <w:rsid w:val="00260948"/>
    <w:rsid w:val="00267E2C"/>
    <w:rsid w:val="00274292"/>
    <w:rsid w:val="00286708"/>
    <w:rsid w:val="002A521E"/>
    <w:rsid w:val="002A703A"/>
    <w:rsid w:val="002E3987"/>
    <w:rsid w:val="002F7764"/>
    <w:rsid w:val="00306332"/>
    <w:rsid w:val="0032404E"/>
    <w:rsid w:val="003330C4"/>
    <w:rsid w:val="00346128"/>
    <w:rsid w:val="00351800"/>
    <w:rsid w:val="00353412"/>
    <w:rsid w:val="00356A51"/>
    <w:rsid w:val="00357E45"/>
    <w:rsid w:val="00367568"/>
    <w:rsid w:val="003731A7"/>
    <w:rsid w:val="00383ACB"/>
    <w:rsid w:val="00395A41"/>
    <w:rsid w:val="003A2EAF"/>
    <w:rsid w:val="003B2B97"/>
    <w:rsid w:val="003D2206"/>
    <w:rsid w:val="003D6C4D"/>
    <w:rsid w:val="003E46B6"/>
    <w:rsid w:val="00420F3E"/>
    <w:rsid w:val="00455C53"/>
    <w:rsid w:val="00461589"/>
    <w:rsid w:val="004769DD"/>
    <w:rsid w:val="0047726E"/>
    <w:rsid w:val="00491F67"/>
    <w:rsid w:val="004A121A"/>
    <w:rsid w:val="004A4317"/>
    <w:rsid w:val="004B1E6A"/>
    <w:rsid w:val="004C25E0"/>
    <w:rsid w:val="004C6698"/>
    <w:rsid w:val="004D0B0F"/>
    <w:rsid w:val="004F424A"/>
    <w:rsid w:val="00554C34"/>
    <w:rsid w:val="0057561E"/>
    <w:rsid w:val="005A2C60"/>
    <w:rsid w:val="005A73F2"/>
    <w:rsid w:val="005C16FD"/>
    <w:rsid w:val="005C478D"/>
    <w:rsid w:val="005D071D"/>
    <w:rsid w:val="005E0E27"/>
    <w:rsid w:val="005E6894"/>
    <w:rsid w:val="005F33B8"/>
    <w:rsid w:val="0060194C"/>
    <w:rsid w:val="00613B48"/>
    <w:rsid w:val="00631849"/>
    <w:rsid w:val="00632E4F"/>
    <w:rsid w:val="00646FBB"/>
    <w:rsid w:val="0068732D"/>
    <w:rsid w:val="006A3494"/>
    <w:rsid w:val="006A64B1"/>
    <w:rsid w:val="006D0717"/>
    <w:rsid w:val="006D21F2"/>
    <w:rsid w:val="006D6D92"/>
    <w:rsid w:val="00714651"/>
    <w:rsid w:val="00717223"/>
    <w:rsid w:val="00722A40"/>
    <w:rsid w:val="00736A42"/>
    <w:rsid w:val="007414D4"/>
    <w:rsid w:val="007464FF"/>
    <w:rsid w:val="00771645"/>
    <w:rsid w:val="00775542"/>
    <w:rsid w:val="0078789D"/>
    <w:rsid w:val="007B2429"/>
    <w:rsid w:val="007B30E8"/>
    <w:rsid w:val="007D60A6"/>
    <w:rsid w:val="007E0E1F"/>
    <w:rsid w:val="008041FA"/>
    <w:rsid w:val="008201CA"/>
    <w:rsid w:val="008217F8"/>
    <w:rsid w:val="00823BC2"/>
    <w:rsid w:val="00831561"/>
    <w:rsid w:val="0083785B"/>
    <w:rsid w:val="00841D09"/>
    <w:rsid w:val="00852B5B"/>
    <w:rsid w:val="00880B0E"/>
    <w:rsid w:val="008A05DC"/>
    <w:rsid w:val="008A4991"/>
    <w:rsid w:val="008A50E1"/>
    <w:rsid w:val="008B5DC9"/>
    <w:rsid w:val="008E1F03"/>
    <w:rsid w:val="00912EA1"/>
    <w:rsid w:val="009315CA"/>
    <w:rsid w:val="00943062"/>
    <w:rsid w:val="00953CF9"/>
    <w:rsid w:val="00964C34"/>
    <w:rsid w:val="00976394"/>
    <w:rsid w:val="009939CF"/>
    <w:rsid w:val="009D7517"/>
    <w:rsid w:val="009F49AE"/>
    <w:rsid w:val="00A534B0"/>
    <w:rsid w:val="00A610C1"/>
    <w:rsid w:val="00A8279E"/>
    <w:rsid w:val="00A90659"/>
    <w:rsid w:val="00AC013B"/>
    <w:rsid w:val="00AC2DC4"/>
    <w:rsid w:val="00AD43A0"/>
    <w:rsid w:val="00B15349"/>
    <w:rsid w:val="00B15B25"/>
    <w:rsid w:val="00B16759"/>
    <w:rsid w:val="00B16E06"/>
    <w:rsid w:val="00B4359E"/>
    <w:rsid w:val="00B632C1"/>
    <w:rsid w:val="00B7296A"/>
    <w:rsid w:val="00B80D8C"/>
    <w:rsid w:val="00B900A6"/>
    <w:rsid w:val="00BA5135"/>
    <w:rsid w:val="00BA5A31"/>
    <w:rsid w:val="00BB08F3"/>
    <w:rsid w:val="00BC388C"/>
    <w:rsid w:val="00BD38A8"/>
    <w:rsid w:val="00BE16F1"/>
    <w:rsid w:val="00BE4866"/>
    <w:rsid w:val="00C268AB"/>
    <w:rsid w:val="00C3629F"/>
    <w:rsid w:val="00C400A5"/>
    <w:rsid w:val="00C43088"/>
    <w:rsid w:val="00C72063"/>
    <w:rsid w:val="00CB15AD"/>
    <w:rsid w:val="00D04D11"/>
    <w:rsid w:val="00D34B52"/>
    <w:rsid w:val="00D359C4"/>
    <w:rsid w:val="00D35E78"/>
    <w:rsid w:val="00D576C3"/>
    <w:rsid w:val="00D65022"/>
    <w:rsid w:val="00D85743"/>
    <w:rsid w:val="00DB1A92"/>
    <w:rsid w:val="00DE5D9B"/>
    <w:rsid w:val="00DE7A65"/>
    <w:rsid w:val="00DF3EC3"/>
    <w:rsid w:val="00E06340"/>
    <w:rsid w:val="00E14EBC"/>
    <w:rsid w:val="00E608ED"/>
    <w:rsid w:val="00E8441C"/>
    <w:rsid w:val="00EA6C64"/>
    <w:rsid w:val="00EB1518"/>
    <w:rsid w:val="00EB4E39"/>
    <w:rsid w:val="00ED13B3"/>
    <w:rsid w:val="00EE09C4"/>
    <w:rsid w:val="00F53664"/>
    <w:rsid w:val="00F65897"/>
    <w:rsid w:val="00F87D5E"/>
    <w:rsid w:val="00F93D98"/>
    <w:rsid w:val="00FA7540"/>
    <w:rsid w:val="00FA7E02"/>
    <w:rsid w:val="00FA7F16"/>
    <w:rsid w:val="00FC0A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>
      <v:textbox inset="5.85pt,.7pt,5.85pt,.7pt"/>
    </o:shapedefaults>
    <o:shapelayout v:ext="edit">
      <o:idmap v:ext="edit" data="2"/>
    </o:shapelayout>
  </w:shapeDefaults>
  <w:decimalSymbol w:val="."/>
  <w:listSeparator w:val=","/>
  <w14:docId w14:val="489647E5"/>
  <w15:chartTrackingRefBased/>
  <w15:docId w15:val="{3BD57105-3E5F-400D-8F36-1B598248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B39A-4910-4C45-AF83-2E0A337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11</cp:revision>
  <cp:lastPrinted>2012-05-08T01:32:00Z</cp:lastPrinted>
  <dcterms:created xsi:type="dcterms:W3CDTF">2022-07-19T04:52:00Z</dcterms:created>
  <dcterms:modified xsi:type="dcterms:W3CDTF">2022-09-07T07:14:00Z</dcterms:modified>
</cp:coreProperties>
</file>